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ZRC.5128.1.3</w:t>
      </w:r>
      <w:r w:rsidR="001A6B0A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8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211EDA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1A6B0A">
        <w:rPr>
          <w:rFonts w:ascii="Garamond" w:hAnsi="Garamond"/>
          <w:b/>
        </w:rPr>
        <w:t>Kosmetologia estetyczna – techniki zaawansowane</w:t>
      </w:r>
      <w:r w:rsidRPr="00F12966">
        <w:rPr>
          <w:rFonts w:ascii="Garamond" w:eastAsia="Times New Roman" w:hAnsi="Garamond"/>
          <w:b/>
          <w:color w:val="auto"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211EDA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211EDA">
        <w:rPr>
          <w:rFonts w:ascii="Garamond" w:eastAsia="Times New Roman" w:hAnsi="Garamond"/>
          <w:color w:val="auto"/>
        </w:rPr>
        <w:t>4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211EDA">
        <w:rPr>
          <w:rFonts w:ascii="Garamond" w:eastAsia="Times New Roman" w:hAnsi="Garamond"/>
          <w:color w:val="auto"/>
        </w:rPr>
        <w:t>47</w:t>
      </w:r>
      <w:r w:rsidRPr="00F12966">
        <w:rPr>
          <w:rFonts w:ascii="Garamond" w:eastAsia="Times New Roman" w:hAnsi="Garamond"/>
          <w:color w:val="auto"/>
        </w:rPr>
        <w:t>5).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211EDA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85E95"/>
    <w:rsid w:val="001A6B0A"/>
    <w:rsid w:val="001C17F9"/>
    <w:rsid w:val="001C6007"/>
    <w:rsid w:val="001F2870"/>
    <w:rsid w:val="00206DA4"/>
    <w:rsid w:val="00211EDA"/>
    <w:rsid w:val="00212D67"/>
    <w:rsid w:val="00236035"/>
    <w:rsid w:val="00247E6D"/>
    <w:rsid w:val="0026497A"/>
    <w:rsid w:val="002A3C26"/>
    <w:rsid w:val="002C03A9"/>
    <w:rsid w:val="002C0D41"/>
    <w:rsid w:val="002C2FD5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850D9"/>
    <w:rsid w:val="008A3021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E8347E7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2D3B5-947E-4177-B237-FEF7A4E9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8</cp:revision>
  <cp:lastPrinted>2023-07-20T11:13:00Z</cp:lastPrinted>
  <dcterms:created xsi:type="dcterms:W3CDTF">2023-07-24T06:48:00Z</dcterms:created>
  <dcterms:modified xsi:type="dcterms:W3CDTF">2024-05-22T05:41:00Z</dcterms:modified>
</cp:coreProperties>
</file>